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5B6" w:rsidRPr="00B005B6" w:rsidRDefault="00B005B6" w:rsidP="00B005B6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003095"/>
          <w:sz w:val="51"/>
          <w:szCs w:val="51"/>
          <w:lang w:eastAsia="ru-RU"/>
        </w:rPr>
      </w:pPr>
    </w:p>
    <w:p w:rsidR="00B005B6" w:rsidRDefault="00B005B6" w:rsidP="00B005B6">
      <w:pPr>
        <w:pStyle w:val="a6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bookmarkStart w:id="0" w:name="22"/>
      <w:bookmarkStart w:id="1" w:name="43"/>
      <w:bookmarkEnd w:id="0"/>
      <w:bookmarkEnd w:id="1"/>
      <w:r w:rsidRPr="00B005B6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Выделить правильный ответ</w:t>
      </w:r>
      <w:proofErr w:type="gramStart"/>
      <w:r w:rsidRPr="00B005B6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!</w:t>
      </w:r>
      <w:proofErr w:type="gramEnd"/>
      <w:r w:rsidRPr="00B005B6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!!</w:t>
      </w:r>
    </w:p>
    <w:p w:rsidR="00B005B6" w:rsidRPr="00B005B6" w:rsidRDefault="00B005B6" w:rsidP="00B005B6">
      <w:pPr>
        <w:pStyle w:val="a6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</w:p>
    <w:p w:rsidR="00572F34" w:rsidRPr="00572F34" w:rsidRDefault="00572F34" w:rsidP="00B005B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31. Прерыванием напряжения называется: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387" type="#_x0000_t75" style="width:20.25pt;height:18pt" o:ole="">
            <v:imagedata r:id="rId6" o:title=""/>
          </v:shape>
          <w:control r:id="rId7" w:name="DefaultOcxName119" w:shapeid="_x0000_i1387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А) ощущение неустойчивости зрительного восприятия, вызванное источником освещения, яркость которого изменяется во времени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86" type="#_x0000_t75" style="width:20.25pt;height:18pt" o:ole="">
            <v:imagedata r:id="rId6" o:title=""/>
          </v:shape>
          <w:control r:id="rId8" w:name="DefaultOcxName120" w:shapeid="_x0000_i1386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Б) ощущение неустойчивости зрительного восприятия, вызванное источником освещения, яркость которого изменяется во времени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85" type="#_x0000_t75" style="width:20.25pt;height:18pt" o:ole="">
            <v:imagedata r:id="rId6" o:title=""/>
          </v:shape>
          <w:control r:id="rId9" w:name="DefaultOcxName121" w:shapeid="_x0000_i1385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В) увеличение напряжения в конкретной точке системы электроснабжения выше порогового значения.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84" type="#_x0000_t75" style="width:20.25pt;height:18pt" o:ole="">
            <v:imagedata r:id="rId6" o:title=""/>
          </v:shape>
          <w:control r:id="rId10" w:name="DefaultOcxName122" w:shapeid="_x0000_i1384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Г) ситуация, при которой напряжение в точке передачи электрической энергии меньше 5% от опорного значения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83" type="#_x0000_t75" style="width:20.25pt;height:18pt" o:ole="">
            <v:imagedata r:id="rId6" o:title=""/>
          </v:shape>
          <w:control r:id="rId11" w:name="DefaultOcxName123" w:shapeid="_x0000_i1383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Д) временное уменьшение напряжения в определенной точке системы электроснабжения ниже допустимого значения</w:t>
      </w:r>
    </w:p>
    <w:p w:rsidR="00572F34" w:rsidRPr="00572F34" w:rsidRDefault="00572F34" w:rsidP="00B005B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bookmarkStart w:id="2" w:name="44"/>
      <w:bookmarkEnd w:id="2"/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32. Нормально допустимое отклонение частоты питающей сети согласно ГОСТ 32144-2013 составляет: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82" type="#_x0000_t75" style="width:20.25pt;height:18pt" o:ole="">
            <v:imagedata r:id="rId6" o:title=""/>
          </v:shape>
          <w:control r:id="rId12" w:name="DefaultOcxName124" w:shapeid="_x0000_i1382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А) 0,2 Гц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81" type="#_x0000_t75" style="width:20.25pt;height:18pt" o:ole="">
            <v:imagedata r:id="rId6" o:title=""/>
          </v:shape>
          <w:control r:id="rId13" w:name="DefaultOcxName125" w:shapeid="_x0000_i1381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Б) 0,4 Гц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80" type="#_x0000_t75" style="width:20.25pt;height:18pt" o:ole="">
            <v:imagedata r:id="rId6" o:title=""/>
          </v:shape>
          <w:control r:id="rId14" w:name="DefaultOcxName126" w:shapeid="_x0000_i1380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В) 1 Гц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79" type="#_x0000_t75" style="width:20.25pt;height:18pt" o:ole="">
            <v:imagedata r:id="rId6" o:title=""/>
          </v:shape>
          <w:control r:id="rId15" w:name="DefaultOcxName127" w:shapeid="_x0000_i1379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Г) 2 Гц</w:t>
      </w:r>
    </w:p>
    <w:p w:rsidR="00572F34" w:rsidRPr="00572F34" w:rsidRDefault="00572F34" w:rsidP="00B005B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3" w:name="45"/>
      <w:bookmarkEnd w:id="3"/>
      <w:r w:rsidRPr="00572F34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33. Суммарный коэффициент гармонических искажений сетевого напряжения (THD) вычисляется по следующему выражению:</w:t>
      </w:r>
      <w:r w:rsidRPr="00572F34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  <w:t>А) </w:t>
      </w:r>
      <w:r w:rsidRPr="00572F34">
        <w:rPr>
          <w:rFonts w:ascii="Arial" w:eastAsia="Times New Roman" w:hAnsi="Arial" w:cs="Arial"/>
          <w:noProof/>
          <w:color w:val="000000"/>
          <w:sz w:val="36"/>
          <w:szCs w:val="36"/>
          <w:lang w:eastAsia="ru-RU"/>
        </w:rPr>
        <w:drawing>
          <wp:inline distT="0" distB="0" distL="0" distR="0" wp14:anchorId="4E281BB9" wp14:editId="73BC66B0">
            <wp:extent cx="7143750" cy="266700"/>
            <wp:effectExtent l="0" t="0" r="0" b="0"/>
            <wp:docPr id="26" name="Рисунок 26" descr="http://media.ls.urfu.ru/Projects/570/uploaded/images/124944_5BG8EU4S_7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 descr="http://media.ls.urfu.ru/Projects/570/uploaded/images/124944_5BG8EU4S_750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F34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  <w:t>Б) </w:t>
      </w:r>
      <w:r w:rsidRPr="00572F34">
        <w:rPr>
          <w:rFonts w:ascii="Arial" w:eastAsia="Times New Roman" w:hAnsi="Arial" w:cs="Arial"/>
          <w:noProof/>
          <w:color w:val="000000"/>
          <w:sz w:val="36"/>
          <w:szCs w:val="36"/>
          <w:lang w:eastAsia="ru-RU"/>
        </w:rPr>
        <w:drawing>
          <wp:inline distT="0" distB="0" distL="0" distR="0" wp14:anchorId="1DBC7004" wp14:editId="61220984">
            <wp:extent cx="7143750" cy="285750"/>
            <wp:effectExtent l="0" t="0" r="0" b="0"/>
            <wp:docPr id="27" name="Рисунок 27" descr="http://media.ls.urfu.ru/Projects/570/uploaded/images/124947_F5TXH8LR_7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 descr="http://media.ls.urfu.ru/Projects/570/uploaded/images/124947_F5TXH8LR_750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F34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  <w:t>В)</w:t>
      </w:r>
      <w:r w:rsidRPr="00572F34">
        <w:rPr>
          <w:rFonts w:ascii="Arial" w:eastAsia="Times New Roman" w:hAnsi="Arial" w:cs="Arial"/>
          <w:noProof/>
          <w:color w:val="000000"/>
          <w:sz w:val="36"/>
          <w:szCs w:val="36"/>
          <w:lang w:eastAsia="ru-RU"/>
        </w:rPr>
        <w:drawing>
          <wp:inline distT="0" distB="0" distL="0" distR="0" wp14:anchorId="71D3F267" wp14:editId="6B07575F">
            <wp:extent cx="7143750" cy="400050"/>
            <wp:effectExtent l="0" t="0" r="0" b="0"/>
            <wp:docPr id="28" name="Рисунок 28" descr="http://media.ls.urfu.ru/Projects/570/uploaded/images/124954_S5LD6YCB_7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 descr="http://media.ls.urfu.ru/Projects/570/uploaded/images/124954_S5LD6YCB_750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F34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572F34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где </w:t>
      </w:r>
      <w:r w:rsidRPr="00572F34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U</w:t>
      </w:r>
      <w:r w:rsidRPr="00572F34">
        <w:rPr>
          <w:rFonts w:ascii="Arial" w:eastAsia="Times New Roman" w:hAnsi="Arial" w:cs="Arial"/>
          <w:i/>
          <w:iCs/>
          <w:color w:val="000000"/>
          <w:sz w:val="23"/>
          <w:szCs w:val="23"/>
          <w:vertAlign w:val="subscript"/>
          <w:lang w:eastAsia="ru-RU"/>
        </w:rPr>
        <w:t>2(1)</w: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действующее значение напряжения обратной последовательности основной частоты трехфазной системы напряжений, В, </w:t>
      </w:r>
      <w:r w:rsidRPr="00572F34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U</w:t>
      </w:r>
      <w:r w:rsidRPr="00572F34">
        <w:rPr>
          <w:rFonts w:ascii="Arial" w:eastAsia="Times New Roman" w:hAnsi="Arial" w:cs="Arial"/>
          <w:color w:val="000000"/>
          <w:sz w:val="23"/>
          <w:szCs w:val="23"/>
          <w:vertAlign w:val="subscript"/>
          <w:lang w:eastAsia="ru-RU"/>
        </w:rPr>
        <w:t>1(1) </w: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действующее значение напряжения прямой последовательности основной частоты, В,</w:t>
      </w:r>
      <w:r w:rsidRPr="00572F34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 U</w:t>
      </w:r>
      <w:r w:rsidRPr="00572F34">
        <w:rPr>
          <w:rFonts w:ascii="Arial" w:eastAsia="Times New Roman" w:hAnsi="Arial" w:cs="Arial"/>
          <w:i/>
          <w:iCs/>
          <w:color w:val="000000"/>
          <w:sz w:val="23"/>
          <w:szCs w:val="23"/>
          <w:vertAlign w:val="subscript"/>
          <w:lang w:eastAsia="ru-RU"/>
        </w:rPr>
        <w:t>0(1)</w: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действующее значение напряжения нулевой последовательности основной частоты трехфазной системы напряжений, В, </w:t>
      </w:r>
      <w:proofErr w:type="spellStart"/>
      <w:r w:rsidRPr="00572F34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U</w:t>
      </w:r>
      <w:r w:rsidRPr="00572F34">
        <w:rPr>
          <w:rFonts w:ascii="Arial" w:eastAsia="Times New Roman" w:hAnsi="Arial" w:cs="Arial"/>
          <w:i/>
          <w:iCs/>
          <w:color w:val="000000"/>
          <w:sz w:val="23"/>
          <w:szCs w:val="23"/>
          <w:vertAlign w:val="subscript"/>
          <w:lang w:eastAsia="ru-RU"/>
        </w:rPr>
        <w:t>n</w:t>
      </w:r>
      <w:proofErr w:type="spellEnd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амплитуда n-ой гармоники сетевого напряжения.</w:t>
      </w:r>
    </w:p>
    <w:bookmarkStart w:id="4" w:name="46"/>
    <w:bookmarkEnd w:id="4"/>
    <w:p w:rsidR="00572F34" w:rsidRPr="00572F34" w:rsidRDefault="00572F34" w:rsidP="00572F34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object w:dxaOrig="405" w:dyaOrig="360">
          <v:shape id="_x0000_i1378" type="#_x0000_t75" style="width:20.25pt;height:18pt" o:ole="">
            <v:imagedata r:id="rId6" o:title=""/>
          </v:shape>
          <w:control r:id="rId19" w:name="DefaultOcxName128" w:shapeid="_x0000_i1378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А)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77" type="#_x0000_t75" style="width:20.25pt;height:18pt" o:ole="">
            <v:imagedata r:id="rId6" o:title=""/>
          </v:shape>
          <w:control r:id="rId20" w:name="DefaultOcxName129" w:shapeid="_x0000_i1377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Б)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76" type="#_x0000_t75" style="width:20.25pt;height:18pt" o:ole="">
            <v:imagedata r:id="rId6" o:title=""/>
          </v:shape>
          <w:control r:id="rId21" w:name="DefaultOcxName130" w:shapeid="_x0000_i1376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В)</w:t>
      </w:r>
    </w:p>
    <w:p w:rsidR="00572F34" w:rsidRPr="00572F34" w:rsidRDefault="00572F34" w:rsidP="00B005B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bookmarkStart w:id="5" w:name="47"/>
      <w:bookmarkEnd w:id="5"/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34. К какому из нижеперечисленных типов помех относятся разряды статического электричества, которые возникают при прикосновении обслуживающего персонала к корпусам и элементам оборудования?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75" type="#_x0000_t75" style="width:20.25pt;height:18pt" o:ole="">
            <v:imagedata r:id="rId6" o:title=""/>
          </v:shape>
          <w:control r:id="rId22" w:name="DefaultOcxName131" w:shapeid="_x0000_i1375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А) Естественные помехи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74" type="#_x0000_t75" style="width:20.25pt;height:18pt" o:ole="">
            <v:imagedata r:id="rId6" o:title=""/>
          </v:shape>
          <w:control r:id="rId23" w:name="DefaultOcxName132" w:shapeid="_x0000_i1374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Б) Искусственные помехи</w:t>
      </w:r>
    </w:p>
    <w:p w:rsidR="00572F34" w:rsidRPr="00572F34" w:rsidRDefault="00572F34" w:rsidP="00B005B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bookmarkStart w:id="6" w:name="48"/>
      <w:bookmarkStart w:id="7" w:name="_GoBack"/>
      <w:bookmarkEnd w:id="6"/>
      <w:bookmarkEnd w:id="7"/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35. За </w:t>
      </w:r>
      <w:proofErr w:type="gramStart"/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счет</w:t>
      </w:r>
      <w:proofErr w:type="gramEnd"/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какого типа воздействий источников помех формируются токи утечки, которые протекают по элементам конструкции, таким как подшипниковые щиты двигателя, корпусу преобразователя и питающего трансформатора?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73" type="#_x0000_t75" style="width:20.25pt;height:18pt" o:ole="">
            <v:imagedata r:id="rId6" o:title=""/>
          </v:shape>
          <w:control r:id="rId24" w:name="DefaultOcxName133" w:shapeid="_x0000_i1373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А) Емкостное воздействие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72" type="#_x0000_t75" style="width:20.25pt;height:18pt" o:ole="">
            <v:imagedata r:id="rId6" o:title=""/>
          </v:shape>
          <w:control r:id="rId25" w:name="DefaultOcxName134" w:shapeid="_x0000_i1372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Б) Индуктивное воздействие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71" type="#_x0000_t75" style="width:20.25pt;height:18pt" o:ole="">
            <v:imagedata r:id="rId6" o:title=""/>
          </v:shape>
          <w:control r:id="rId26" w:name="DefaultOcxName135" w:shapeid="_x0000_i1371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В) Гальваническое воздействие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70" type="#_x0000_t75" style="width:20.25pt;height:18pt" o:ole="">
            <v:imagedata r:id="rId6" o:title=""/>
          </v:shape>
          <w:control r:id="rId27" w:name="DefaultOcxName136" w:shapeid="_x0000_i1370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Г) Электромагнитное воздействие</w:t>
      </w:r>
    </w:p>
    <w:p w:rsidR="00572F34" w:rsidRPr="00572F34" w:rsidRDefault="00572F34" w:rsidP="00572F34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bookmarkStart w:id="8" w:name="49"/>
      <w:bookmarkEnd w:id="8"/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36. Какой из нижеперечисленных способов позволит полностью устранить возникновение емкостных токов (токов утечки) при использовании преобразователей частоты: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69" type="#_x0000_t75" style="width:20.25pt;height:18pt" o:ole="">
            <v:imagedata r:id="rId6" o:title=""/>
          </v:shape>
          <w:control r:id="rId28" w:name="DefaultOcxName137" w:shapeid="_x0000_i1369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А) Установка фильтра электромагнитной совместимости на входе преобразователя частоты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68" type="#_x0000_t75" style="width:20.25pt;height:18pt" o:ole="">
            <v:imagedata r:id="rId6" o:title=""/>
          </v:shape>
          <w:control r:id="rId29" w:name="DefaultOcxName138" w:shapeid="_x0000_i1368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Б) Установка входного реактора между сетью и преобразователем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67" type="#_x0000_t75" style="width:20.25pt;height:18pt" o:ole="">
            <v:imagedata r:id="rId6" o:title=""/>
          </v:shape>
          <w:control r:id="rId30" w:name="DefaultOcxName139" w:shapeid="_x0000_i1367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В) Установка максимально возможной частоты ШИМ в преобразователе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66" type="#_x0000_t75" style="width:20.25pt;height:18pt" o:ole="">
            <v:imagedata r:id="rId6" o:title=""/>
          </v:shape>
          <w:control r:id="rId31" w:name="DefaultOcxName140" w:shapeid="_x0000_i1366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Г) Установка синусоидального фильтра на выходе преобразователя частоты</w:t>
      </w:r>
    </w:p>
    <w:p w:rsidR="00572F34" w:rsidRPr="00572F34" w:rsidRDefault="00572F34" w:rsidP="00572F34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bookmarkStart w:id="9" w:name="50"/>
      <w:bookmarkEnd w:id="9"/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37. Суммарный коэффициент гармонических составляющих напряжения (THD) характеризует: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65" type="#_x0000_t75" style="width:20.25pt;height:18pt" o:ole="">
            <v:imagedata r:id="rId6" o:title=""/>
          </v:shape>
          <w:control r:id="rId32" w:name="DefaultOcxName141" w:shapeid="_x0000_i1365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А) Степень </w:t>
      </w:r>
      <w:proofErr w:type="spellStart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несимметрии</w:t>
      </w:r>
      <w:proofErr w:type="spellEnd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питающего напряжения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64" type="#_x0000_t75" style="width:20.25pt;height:18pt" o:ole="">
            <v:imagedata r:id="rId6" o:title=""/>
          </v:shape>
          <w:control r:id="rId33" w:name="DefaultOcxName142" w:shapeid="_x0000_i1364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Б) Долю </w:t>
      </w:r>
      <w:proofErr w:type="spellStart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фликера</w:t>
      </w:r>
      <w:proofErr w:type="spellEnd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в питающем напряжении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63" type="#_x0000_t75" style="width:20.25pt;height:18pt" o:ole="">
            <v:imagedata r:id="rId6" o:title=""/>
          </v:shape>
          <w:control r:id="rId34" w:name="DefaultOcxName143" w:shapeid="_x0000_i1363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В) Степень содержания высших гармоник в питающем напряжении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62" type="#_x0000_t75" style="width:20.25pt;height:18pt" o:ole="">
            <v:imagedata r:id="rId6" o:title=""/>
          </v:shape>
          <w:control r:id="rId35" w:name="DefaultOcxName144" w:shapeid="_x0000_i1362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Г) Среднеквадратичное напряжение гармонической подгруппы</w:t>
      </w:r>
    </w:p>
    <w:p w:rsidR="00572F34" w:rsidRPr="00572F34" w:rsidRDefault="00572F34" w:rsidP="00572F34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bookmarkStart w:id="10" w:name="51"/>
      <w:bookmarkEnd w:id="10"/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38. Преобразователь частоты окажет более сильное влияние на сеть: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61" type="#_x0000_t75" style="width:20.25pt;height:18pt" o:ole="">
            <v:imagedata r:id="rId6" o:title=""/>
          </v:shape>
          <w:control r:id="rId36" w:name="DefaultOcxName145" w:shapeid="_x0000_i1361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А) С большим активным сопротивлением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60" type="#_x0000_t75" style="width:20.25pt;height:18pt" o:ole="">
            <v:imagedata r:id="rId6" o:title=""/>
          </v:shape>
          <w:control r:id="rId37" w:name="DefaultOcxName146" w:shapeid="_x0000_i1360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Б) С малым активным сопротивлением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59" type="#_x0000_t75" style="width:20.25pt;height:18pt" o:ole="">
            <v:imagedata r:id="rId6" o:title=""/>
          </v:shape>
          <w:control r:id="rId38" w:name="DefaultOcxName147" w:shapeid="_x0000_i1359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В) Полное сопротивление питающей сети не влияет на искажение питающего напряжения</w:t>
      </w:r>
    </w:p>
    <w:p w:rsidR="00572F34" w:rsidRPr="00572F34" w:rsidRDefault="00572F34" w:rsidP="00572F34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bookmarkStart w:id="11" w:name="52"/>
      <w:bookmarkEnd w:id="11"/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39. Какой из нижеперечисленных выпрямителей в составе преобразователя частоты будет вносить наименьшие искажения в питающую сеть: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58" type="#_x0000_t75" style="width:20.25pt;height:18pt" o:ole="">
            <v:imagedata r:id="rId6" o:title=""/>
          </v:shape>
          <w:control r:id="rId39" w:name="DefaultOcxName148" w:shapeid="_x0000_i1358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А) Неуправляемый мостовой выпрямитель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57" type="#_x0000_t75" style="width:20.25pt;height:18pt" o:ole="">
            <v:imagedata r:id="rId6" o:title=""/>
          </v:shape>
          <w:control r:id="rId40" w:name="DefaultOcxName149" w:shapeid="_x0000_i1357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Б) Неуправляемый выпрямитель на основе 12-пульсной схемы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56" type="#_x0000_t75" style="width:20.25pt;height:18pt" o:ole="">
            <v:imagedata r:id="rId6" o:title=""/>
          </v:shape>
          <w:control r:id="rId41" w:name="DefaultOcxName150" w:shapeid="_x0000_i1356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В) Активный выпрямитель напряжения на полностью управляемых полупроводниковых элементах</w:t>
      </w:r>
    </w:p>
    <w:p w:rsidR="00572F34" w:rsidRPr="00572F34" w:rsidRDefault="00572F34" w:rsidP="00572F34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bookmarkStart w:id="12" w:name="53"/>
      <w:bookmarkEnd w:id="12"/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40. Для снижения эффекта старения изоляции двигателя от крутых фронтов питающего напряжения при использовании преобразователя частоты с ШИМ достаточно: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55" type="#_x0000_t75" style="width:20.25pt;height:18pt" o:ole="">
            <v:imagedata r:id="rId6" o:title=""/>
          </v:shape>
          <w:control r:id="rId42" w:name="DefaultOcxName151" w:shapeid="_x0000_i1355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А) Установить фильтр электромагнитной совместимости на входе преобразователя частоты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54" type="#_x0000_t75" style="width:20.25pt;height:18pt" o:ole="">
            <v:imagedata r:id="rId6" o:title=""/>
          </v:shape>
          <w:control r:id="rId43" w:name="DefaultOcxName152" w:shapeid="_x0000_i1354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Б) Установить входной реактор между сетью и преобразователем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53" type="#_x0000_t75" style="width:20.25pt;height:18pt" o:ole="">
            <v:imagedata r:id="rId6" o:title=""/>
          </v:shape>
          <w:control r:id="rId44" w:name="DefaultOcxName153" w:shapeid="_x0000_i1353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В) Установить выходной дроссель между преобразователем и двигателем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52" type="#_x0000_t75" style="width:20.25pt;height:18pt" o:ole="">
            <v:imagedata r:id="rId6" o:title=""/>
          </v:shape>
          <w:control r:id="rId45" w:name="DefaultOcxName154" w:shapeid="_x0000_i1352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Г) Установить реактор в звено постоянного тока преобразователя частоты</w:t>
      </w:r>
    </w:p>
    <w:p w:rsidR="00572F34" w:rsidRPr="00572F34" w:rsidRDefault="00572F34" w:rsidP="00572F34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bookmarkStart w:id="13" w:name="54"/>
      <w:bookmarkEnd w:id="13"/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41. Какой из нижеперечисленных ГОСТов регламентирует требования к средствам измерения, которые используются для оценки гармонического состава токов и напряжений?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51" type="#_x0000_t75" style="width:20.25pt;height:18pt" o:ole="">
            <v:imagedata r:id="rId6" o:title=""/>
          </v:shape>
          <w:control r:id="rId46" w:name="DefaultOcxName155" w:shapeid="_x0000_i1351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А) ГОСТ 30804.3.3-2013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50" type="#_x0000_t75" style="width:20.25pt;height:18pt" o:ole="">
            <v:imagedata r:id="rId6" o:title=""/>
          </v:shape>
          <w:control r:id="rId47" w:name="DefaultOcxName156" w:shapeid="_x0000_i1350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Б) ГОСТ 30804.4.7-2013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49" type="#_x0000_t75" style="width:20.25pt;height:18pt" o:ole="">
            <v:imagedata r:id="rId6" o:title=""/>
          </v:shape>
          <w:control r:id="rId48" w:name="DefaultOcxName157" w:shapeid="_x0000_i1349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В) ГОСТ 32144-2013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48" type="#_x0000_t75" style="width:20.25pt;height:18pt" o:ole="">
            <v:imagedata r:id="rId6" o:title=""/>
          </v:shape>
          <w:control r:id="rId49" w:name="DefaultOcxName158" w:shapeid="_x0000_i1348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Г) ГОСТ 13109-97</w:t>
      </w:r>
    </w:p>
    <w:p w:rsidR="00572F34" w:rsidRPr="00572F34" w:rsidRDefault="00572F34" w:rsidP="00572F3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347" type="#_x0000_t75" style="width:20.25pt;height:18pt" o:ole="">
            <v:imagedata r:id="rId6" o:title=""/>
          </v:shape>
          <w:control r:id="rId50" w:name="DefaultOcxName159" w:shapeid="_x0000_i1347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Д) EN50081-1</w:t>
      </w:r>
    </w:p>
    <w:p w:rsidR="00572F34" w:rsidRPr="00572F34" w:rsidRDefault="00572F34" w:rsidP="00572F34">
      <w:pPr>
        <w:jc w:val="both"/>
      </w:pPr>
    </w:p>
    <w:sectPr w:rsidR="00572F34" w:rsidRPr="00572F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D6C81"/>
    <w:multiLevelType w:val="multilevel"/>
    <w:tmpl w:val="CCB84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162002"/>
    <w:multiLevelType w:val="multilevel"/>
    <w:tmpl w:val="27728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A204FB"/>
    <w:multiLevelType w:val="multilevel"/>
    <w:tmpl w:val="5F18A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44006D1"/>
    <w:multiLevelType w:val="multilevel"/>
    <w:tmpl w:val="4210B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F751DA"/>
    <w:multiLevelType w:val="multilevel"/>
    <w:tmpl w:val="9F2CC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4726C4E"/>
    <w:multiLevelType w:val="multilevel"/>
    <w:tmpl w:val="8B3C2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9D931B0"/>
    <w:multiLevelType w:val="multilevel"/>
    <w:tmpl w:val="D7709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4D22153"/>
    <w:multiLevelType w:val="multilevel"/>
    <w:tmpl w:val="30F8E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32D6432"/>
    <w:multiLevelType w:val="multilevel"/>
    <w:tmpl w:val="45E25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0494F5B"/>
    <w:multiLevelType w:val="multilevel"/>
    <w:tmpl w:val="1D967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70C3D2C"/>
    <w:multiLevelType w:val="multilevel"/>
    <w:tmpl w:val="EA323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80F055E"/>
    <w:multiLevelType w:val="multilevel"/>
    <w:tmpl w:val="0F324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AF40CFB"/>
    <w:multiLevelType w:val="multilevel"/>
    <w:tmpl w:val="3BEE8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2FF65C6"/>
    <w:multiLevelType w:val="multilevel"/>
    <w:tmpl w:val="7562A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E1E24EE"/>
    <w:multiLevelType w:val="multilevel"/>
    <w:tmpl w:val="E9FE4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EC809AD"/>
    <w:multiLevelType w:val="multilevel"/>
    <w:tmpl w:val="D7767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3"/>
  </w:num>
  <w:num w:numId="4">
    <w:abstractNumId w:val="4"/>
  </w:num>
  <w:num w:numId="5">
    <w:abstractNumId w:val="1"/>
  </w:num>
  <w:num w:numId="6">
    <w:abstractNumId w:val="14"/>
  </w:num>
  <w:num w:numId="7">
    <w:abstractNumId w:val="5"/>
  </w:num>
  <w:num w:numId="8">
    <w:abstractNumId w:val="12"/>
  </w:num>
  <w:num w:numId="9">
    <w:abstractNumId w:val="11"/>
  </w:num>
  <w:num w:numId="10">
    <w:abstractNumId w:val="7"/>
  </w:num>
  <w:num w:numId="11">
    <w:abstractNumId w:val="9"/>
  </w:num>
  <w:num w:numId="12">
    <w:abstractNumId w:val="15"/>
  </w:num>
  <w:num w:numId="13">
    <w:abstractNumId w:val="13"/>
  </w:num>
  <w:num w:numId="14">
    <w:abstractNumId w:val="10"/>
  </w:num>
  <w:num w:numId="15">
    <w:abstractNumId w:val="2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F12"/>
    <w:rsid w:val="00060460"/>
    <w:rsid w:val="001B6BED"/>
    <w:rsid w:val="002848EF"/>
    <w:rsid w:val="00572F34"/>
    <w:rsid w:val="00765F12"/>
    <w:rsid w:val="00B005B6"/>
    <w:rsid w:val="00BD6B36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72F3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72F3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572F34"/>
  </w:style>
  <w:style w:type="character" w:styleId="a3">
    <w:name w:val="Emphasis"/>
    <w:basedOn w:val="a0"/>
    <w:uiPriority w:val="20"/>
    <w:qFormat/>
    <w:rsid w:val="00572F34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572F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2F3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005B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72F3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72F3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572F34"/>
  </w:style>
  <w:style w:type="character" w:styleId="a3">
    <w:name w:val="Emphasis"/>
    <w:basedOn w:val="a0"/>
    <w:uiPriority w:val="20"/>
    <w:qFormat/>
    <w:rsid w:val="00572F34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572F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2F3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005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75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4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2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6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33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55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624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6590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814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4089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970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8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7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48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77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8597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6745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6942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98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70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163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116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419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0563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06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86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463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7104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7484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2796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180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16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58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50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720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8803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715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629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689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2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37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059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480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102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034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750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888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5927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21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62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59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931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680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5520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6533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5389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82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78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353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886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779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8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00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984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706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4567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5410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193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2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72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731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037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171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529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129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0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89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01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434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1003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857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42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54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102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689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4533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091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0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45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64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452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4685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1973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0423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534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9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82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48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386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8297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5145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816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430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3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35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94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03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9120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859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8818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33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191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670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795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2390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51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4916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003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79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534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715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664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471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752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710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080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182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251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6189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2929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9100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408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18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4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288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273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781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4069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0638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147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8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85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65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260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650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0767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628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7139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97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05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55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540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65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034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5326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5067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368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2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20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153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467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361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9072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953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2245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97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1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56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04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29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320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8132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1634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655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5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26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184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01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468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827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8026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806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05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07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48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522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60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2986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586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4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16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387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704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4086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1691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9543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5613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3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47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159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678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482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1218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226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4019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5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374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91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875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239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8468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570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2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9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2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5860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2420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3909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9369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2209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71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3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59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25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985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186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0259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142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6295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2801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10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43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525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1544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3486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3359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035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984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7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35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946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38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998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659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756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46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1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8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617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35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167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281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665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1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855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0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05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9618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3916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7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92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25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40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3466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7928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7372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750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9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76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58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8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4983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1242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0015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462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41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7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8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9271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5664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334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618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520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4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891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793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0300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2737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124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4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32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24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421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400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24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879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8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42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32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456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5543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8713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438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870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74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3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55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334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677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1394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683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5104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7.xml"/><Relationship Id="rId18" Type="http://schemas.openxmlformats.org/officeDocument/2006/relationships/image" Target="media/image4.gif"/><Relationship Id="rId26" Type="http://schemas.openxmlformats.org/officeDocument/2006/relationships/control" Target="activeX/activeX17.xml"/><Relationship Id="rId39" Type="http://schemas.openxmlformats.org/officeDocument/2006/relationships/control" Target="activeX/activeX30.xml"/><Relationship Id="rId3" Type="http://schemas.microsoft.com/office/2007/relationships/stylesWithEffects" Target="stylesWithEffects.xml"/><Relationship Id="rId21" Type="http://schemas.openxmlformats.org/officeDocument/2006/relationships/control" Target="activeX/activeX12.xml"/><Relationship Id="rId34" Type="http://schemas.openxmlformats.org/officeDocument/2006/relationships/control" Target="activeX/activeX25.xml"/><Relationship Id="rId42" Type="http://schemas.openxmlformats.org/officeDocument/2006/relationships/control" Target="activeX/activeX33.xml"/><Relationship Id="rId47" Type="http://schemas.openxmlformats.org/officeDocument/2006/relationships/control" Target="activeX/activeX38.xml"/><Relationship Id="rId50" Type="http://schemas.openxmlformats.org/officeDocument/2006/relationships/control" Target="activeX/activeX41.xml"/><Relationship Id="rId7" Type="http://schemas.openxmlformats.org/officeDocument/2006/relationships/control" Target="activeX/activeX1.xml"/><Relationship Id="rId12" Type="http://schemas.openxmlformats.org/officeDocument/2006/relationships/control" Target="activeX/activeX6.xml"/><Relationship Id="rId17" Type="http://schemas.openxmlformats.org/officeDocument/2006/relationships/image" Target="media/image3.gif"/><Relationship Id="rId25" Type="http://schemas.openxmlformats.org/officeDocument/2006/relationships/control" Target="activeX/activeX16.xml"/><Relationship Id="rId33" Type="http://schemas.openxmlformats.org/officeDocument/2006/relationships/control" Target="activeX/activeX24.xml"/><Relationship Id="rId38" Type="http://schemas.openxmlformats.org/officeDocument/2006/relationships/control" Target="activeX/activeX29.xml"/><Relationship Id="rId46" Type="http://schemas.openxmlformats.org/officeDocument/2006/relationships/control" Target="activeX/activeX37.xml"/><Relationship Id="rId2" Type="http://schemas.openxmlformats.org/officeDocument/2006/relationships/styles" Target="styles.xml"/><Relationship Id="rId16" Type="http://schemas.openxmlformats.org/officeDocument/2006/relationships/image" Target="media/image2.gif"/><Relationship Id="rId20" Type="http://schemas.openxmlformats.org/officeDocument/2006/relationships/control" Target="activeX/activeX11.xml"/><Relationship Id="rId29" Type="http://schemas.openxmlformats.org/officeDocument/2006/relationships/control" Target="activeX/activeX20.xml"/><Relationship Id="rId41" Type="http://schemas.openxmlformats.org/officeDocument/2006/relationships/control" Target="activeX/activeX32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control" Target="activeX/activeX5.xml"/><Relationship Id="rId24" Type="http://schemas.openxmlformats.org/officeDocument/2006/relationships/control" Target="activeX/activeX15.xml"/><Relationship Id="rId32" Type="http://schemas.openxmlformats.org/officeDocument/2006/relationships/control" Target="activeX/activeX23.xml"/><Relationship Id="rId37" Type="http://schemas.openxmlformats.org/officeDocument/2006/relationships/control" Target="activeX/activeX28.xml"/><Relationship Id="rId40" Type="http://schemas.openxmlformats.org/officeDocument/2006/relationships/control" Target="activeX/activeX31.xml"/><Relationship Id="rId45" Type="http://schemas.openxmlformats.org/officeDocument/2006/relationships/control" Target="activeX/activeX36.xml"/><Relationship Id="rId5" Type="http://schemas.openxmlformats.org/officeDocument/2006/relationships/webSettings" Target="webSettings.xml"/><Relationship Id="rId15" Type="http://schemas.openxmlformats.org/officeDocument/2006/relationships/control" Target="activeX/activeX9.xml"/><Relationship Id="rId23" Type="http://schemas.openxmlformats.org/officeDocument/2006/relationships/control" Target="activeX/activeX14.xml"/><Relationship Id="rId28" Type="http://schemas.openxmlformats.org/officeDocument/2006/relationships/control" Target="activeX/activeX19.xml"/><Relationship Id="rId36" Type="http://schemas.openxmlformats.org/officeDocument/2006/relationships/control" Target="activeX/activeX27.xml"/><Relationship Id="rId49" Type="http://schemas.openxmlformats.org/officeDocument/2006/relationships/control" Target="activeX/activeX40.xml"/><Relationship Id="rId10" Type="http://schemas.openxmlformats.org/officeDocument/2006/relationships/control" Target="activeX/activeX4.xml"/><Relationship Id="rId19" Type="http://schemas.openxmlformats.org/officeDocument/2006/relationships/control" Target="activeX/activeX10.xml"/><Relationship Id="rId31" Type="http://schemas.openxmlformats.org/officeDocument/2006/relationships/control" Target="activeX/activeX22.xml"/><Relationship Id="rId44" Type="http://schemas.openxmlformats.org/officeDocument/2006/relationships/control" Target="activeX/activeX35.xml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control" Target="activeX/activeX3.xml"/><Relationship Id="rId14" Type="http://schemas.openxmlformats.org/officeDocument/2006/relationships/control" Target="activeX/activeX8.xml"/><Relationship Id="rId22" Type="http://schemas.openxmlformats.org/officeDocument/2006/relationships/control" Target="activeX/activeX13.xml"/><Relationship Id="rId27" Type="http://schemas.openxmlformats.org/officeDocument/2006/relationships/control" Target="activeX/activeX18.xml"/><Relationship Id="rId30" Type="http://schemas.openxmlformats.org/officeDocument/2006/relationships/control" Target="activeX/activeX21.xml"/><Relationship Id="rId35" Type="http://schemas.openxmlformats.org/officeDocument/2006/relationships/control" Target="activeX/activeX26.xml"/><Relationship Id="rId43" Type="http://schemas.openxmlformats.org/officeDocument/2006/relationships/control" Target="activeX/activeX34.xml"/><Relationship Id="rId48" Type="http://schemas.openxmlformats.org/officeDocument/2006/relationships/control" Target="activeX/activeX39.xml"/><Relationship Id="rId8" Type="http://schemas.openxmlformats.org/officeDocument/2006/relationships/control" Target="activeX/activeX2.xml"/><Relationship Id="rId51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791</Words>
  <Characters>4510</Characters>
  <Application>Microsoft Office Word</Application>
  <DocSecurity>0</DocSecurity>
  <Lines>37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Контроль знаний</vt:lpstr>
    </vt:vector>
  </TitlesOfParts>
  <Company/>
  <LinksUpToDate>false</LinksUpToDate>
  <CharactersWithSpaces>5291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5</cp:revision>
  <dcterms:created xsi:type="dcterms:W3CDTF">2021-03-24T05:54:00Z</dcterms:created>
  <dcterms:modified xsi:type="dcterms:W3CDTF">2021-03-24T16:17:00Z</dcterms:modified>
</cp:coreProperties>
</file>